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25" w:rsidRPr="00801E42" w:rsidRDefault="001774F0" w:rsidP="001774F0">
      <w:pPr>
        <w:pStyle w:val="a3"/>
        <w:spacing w:after="120"/>
        <w:jc w:val="center"/>
        <w:rPr>
          <w:lang w:val="en-US"/>
        </w:rPr>
      </w:pPr>
      <w:r>
        <w:rPr>
          <w:lang w:val="en-US"/>
        </w:rPr>
        <w:t xml:space="preserve">Corporate action notice/Insider information disclosure </w:t>
      </w:r>
      <w:r>
        <w:rPr>
          <w:lang w:val="en-US"/>
        </w:rPr>
        <w:b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6"/>
        <w:gridCol w:w="5454"/>
      </w:tblGrid>
      <w:tr w:rsidR="0070664C" w:rsidTr="00DB34DD">
        <w:trPr>
          <w:trHeight w:val="20"/>
        </w:trPr>
        <w:tc>
          <w:tcPr>
            <w:tcW w:w="5000" w:type="pct"/>
            <w:gridSpan w:val="2"/>
          </w:tcPr>
          <w:p w:rsidR="00165325" w:rsidRDefault="001774F0" w:rsidP="00AC347F">
            <w:pPr>
              <w:pStyle w:val="TableParagraph"/>
              <w:ind w:left="0"/>
              <w:jc w:val="center"/>
              <w:rPr>
                <w:sz w:val="24"/>
              </w:rPr>
            </w:pPr>
            <w:r>
              <w:rPr>
                <w:sz w:val="24"/>
                <w:lang w:val="en-US"/>
              </w:rPr>
              <w:t>1. General</w:t>
            </w:r>
          </w:p>
        </w:tc>
      </w:tr>
      <w:tr w:rsidR="0070664C" w:rsidRPr="00801E42" w:rsidTr="00DB34DD">
        <w:trPr>
          <w:trHeight w:val="20"/>
        </w:trPr>
        <w:tc>
          <w:tcPr>
            <w:tcW w:w="2206" w:type="pct"/>
          </w:tcPr>
          <w:p w:rsidR="00165325" w:rsidRPr="00801E42" w:rsidRDefault="001774F0" w:rsidP="00DB34DD">
            <w:pPr>
              <w:pStyle w:val="TableParagraph"/>
              <w:ind w:left="0"/>
              <w:rPr>
                <w:sz w:val="24"/>
                <w:lang w:val="en-US"/>
              </w:rPr>
            </w:pPr>
            <w:r>
              <w:rPr>
                <w:sz w:val="24"/>
                <w:lang w:val="en-US"/>
              </w:rPr>
              <w:t>1.1. Full corporate name of the Issuer:</w:t>
            </w:r>
          </w:p>
        </w:tc>
        <w:tc>
          <w:tcPr>
            <w:tcW w:w="2794" w:type="pct"/>
          </w:tcPr>
          <w:p w:rsidR="00165325" w:rsidRPr="00801E42" w:rsidRDefault="001774F0" w:rsidP="00DB34DD">
            <w:pPr>
              <w:pStyle w:val="TableParagraph"/>
              <w:tabs>
                <w:tab w:val="left" w:pos="2083"/>
                <w:tab w:val="left" w:pos="4194"/>
              </w:tabs>
              <w:ind w:left="0"/>
              <w:rPr>
                <w:b/>
                <w:sz w:val="24"/>
                <w:lang w:val="en-US"/>
              </w:rPr>
            </w:pPr>
            <w:r>
              <w:rPr>
                <w:b/>
                <w:sz w:val="24"/>
                <w:lang w:val="en-US"/>
              </w:rPr>
              <w:t>Public Joint Stock Company "Interregional Distribution Grid Company of the South”</w:t>
            </w:r>
          </w:p>
        </w:tc>
      </w:tr>
      <w:tr w:rsidR="0070664C" w:rsidRPr="00801E42" w:rsidTr="00DB34DD">
        <w:trPr>
          <w:trHeight w:val="20"/>
        </w:trPr>
        <w:tc>
          <w:tcPr>
            <w:tcW w:w="2206" w:type="pct"/>
          </w:tcPr>
          <w:p w:rsidR="00165325" w:rsidRPr="00801E42" w:rsidRDefault="001774F0" w:rsidP="00DB34DD">
            <w:pPr>
              <w:pStyle w:val="TableParagraph"/>
              <w:tabs>
                <w:tab w:val="left" w:pos="2935"/>
              </w:tabs>
              <w:ind w:left="0"/>
              <w:rPr>
                <w:sz w:val="24"/>
                <w:lang w:val="en-US"/>
              </w:rPr>
            </w:pPr>
            <w:r>
              <w:rPr>
                <w:sz w:val="24"/>
                <w:lang w:val="en-US"/>
              </w:rPr>
              <w:t>1.2. Abbreviated corporate name of the Issuer:</w:t>
            </w:r>
          </w:p>
        </w:tc>
        <w:tc>
          <w:tcPr>
            <w:tcW w:w="2794" w:type="pct"/>
          </w:tcPr>
          <w:p w:rsidR="00165325" w:rsidRPr="00801E42" w:rsidRDefault="001774F0" w:rsidP="00DB34DD">
            <w:pPr>
              <w:pStyle w:val="TableParagraph"/>
              <w:ind w:left="0"/>
              <w:rPr>
                <w:b/>
                <w:sz w:val="24"/>
                <w:lang w:val="en-US"/>
              </w:rPr>
            </w:pPr>
            <w:r>
              <w:rPr>
                <w:b/>
                <w:sz w:val="24"/>
                <w:lang w:val="en-US"/>
              </w:rPr>
              <w:t>IDGC of the South, PJSC</w:t>
            </w:r>
          </w:p>
        </w:tc>
      </w:tr>
      <w:tr w:rsidR="0070664C" w:rsidRPr="00801E42" w:rsidTr="00DB34DD">
        <w:trPr>
          <w:trHeight w:val="20"/>
        </w:trPr>
        <w:tc>
          <w:tcPr>
            <w:tcW w:w="2206" w:type="pct"/>
          </w:tcPr>
          <w:p w:rsidR="00165325" w:rsidRDefault="001774F0" w:rsidP="00DB34DD">
            <w:pPr>
              <w:pStyle w:val="TableParagraph"/>
              <w:ind w:left="0"/>
              <w:rPr>
                <w:sz w:val="24"/>
              </w:rPr>
            </w:pPr>
            <w:r>
              <w:rPr>
                <w:sz w:val="24"/>
                <w:lang w:val="en-US"/>
              </w:rPr>
              <w:t>1.3. Location of the Issuer:</w:t>
            </w:r>
          </w:p>
        </w:tc>
        <w:tc>
          <w:tcPr>
            <w:tcW w:w="2794" w:type="pct"/>
          </w:tcPr>
          <w:p w:rsidR="00165325" w:rsidRPr="00801E42" w:rsidRDefault="001774F0" w:rsidP="00DB34DD">
            <w:pPr>
              <w:pStyle w:val="TableParagraph"/>
              <w:ind w:left="0"/>
              <w:rPr>
                <w:b/>
                <w:sz w:val="24"/>
                <w:lang w:val="en-US"/>
              </w:rPr>
            </w:pPr>
            <w:r>
              <w:rPr>
                <w:b/>
                <w:sz w:val="24"/>
                <w:lang w:val="en-US"/>
              </w:rPr>
              <w:t>Rostov-on-Don, Russian Federation</w:t>
            </w:r>
          </w:p>
        </w:tc>
      </w:tr>
      <w:tr w:rsidR="0070664C" w:rsidTr="00DB34DD">
        <w:trPr>
          <w:trHeight w:val="20"/>
        </w:trPr>
        <w:tc>
          <w:tcPr>
            <w:tcW w:w="2206" w:type="pct"/>
          </w:tcPr>
          <w:p w:rsidR="00165325" w:rsidRDefault="001774F0" w:rsidP="00DB34DD">
            <w:pPr>
              <w:pStyle w:val="TableParagraph"/>
              <w:ind w:left="0"/>
              <w:rPr>
                <w:sz w:val="24"/>
              </w:rPr>
            </w:pPr>
            <w:r>
              <w:rPr>
                <w:sz w:val="24"/>
                <w:lang w:val="en-US"/>
              </w:rPr>
              <w:t>1.4. OGRN of the Issuer:</w:t>
            </w:r>
          </w:p>
        </w:tc>
        <w:tc>
          <w:tcPr>
            <w:tcW w:w="2794" w:type="pct"/>
          </w:tcPr>
          <w:p w:rsidR="00165325" w:rsidRDefault="001774F0" w:rsidP="00DB34DD">
            <w:pPr>
              <w:pStyle w:val="TableParagraph"/>
              <w:ind w:left="0"/>
              <w:rPr>
                <w:b/>
                <w:sz w:val="24"/>
              </w:rPr>
            </w:pPr>
            <w:r>
              <w:rPr>
                <w:b/>
                <w:sz w:val="24"/>
                <w:lang w:val="en-US"/>
              </w:rPr>
              <w:t>1076164009096</w:t>
            </w:r>
          </w:p>
        </w:tc>
      </w:tr>
      <w:tr w:rsidR="0070664C" w:rsidTr="00DB34DD">
        <w:trPr>
          <w:trHeight w:val="20"/>
        </w:trPr>
        <w:tc>
          <w:tcPr>
            <w:tcW w:w="2206" w:type="pct"/>
          </w:tcPr>
          <w:p w:rsidR="00165325" w:rsidRDefault="001774F0" w:rsidP="00DB34DD">
            <w:pPr>
              <w:pStyle w:val="TableParagraph"/>
              <w:ind w:left="0"/>
              <w:rPr>
                <w:sz w:val="24"/>
              </w:rPr>
            </w:pPr>
            <w:r>
              <w:rPr>
                <w:sz w:val="24"/>
                <w:lang w:val="en-US"/>
              </w:rPr>
              <w:t>1.5. TIN of the Issuer:</w:t>
            </w:r>
          </w:p>
        </w:tc>
        <w:tc>
          <w:tcPr>
            <w:tcW w:w="2794" w:type="pct"/>
          </w:tcPr>
          <w:p w:rsidR="00165325" w:rsidRDefault="001774F0" w:rsidP="00DB34DD">
            <w:pPr>
              <w:pStyle w:val="TableParagraph"/>
              <w:ind w:left="0"/>
              <w:rPr>
                <w:b/>
                <w:sz w:val="24"/>
              </w:rPr>
            </w:pPr>
            <w:r>
              <w:rPr>
                <w:b/>
                <w:sz w:val="24"/>
                <w:lang w:val="en-US"/>
              </w:rPr>
              <w:t>6164266561</w:t>
            </w:r>
          </w:p>
        </w:tc>
      </w:tr>
      <w:tr w:rsidR="0070664C" w:rsidTr="00DB34DD">
        <w:trPr>
          <w:trHeight w:val="20"/>
        </w:trPr>
        <w:tc>
          <w:tcPr>
            <w:tcW w:w="2206" w:type="pct"/>
          </w:tcPr>
          <w:p w:rsidR="00165325" w:rsidRPr="00801E42" w:rsidRDefault="001774F0" w:rsidP="00DB34DD">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tcPr>
          <w:p w:rsidR="00165325" w:rsidRDefault="001774F0" w:rsidP="00DB34DD">
            <w:pPr>
              <w:pStyle w:val="TableParagraph"/>
              <w:ind w:left="0"/>
              <w:rPr>
                <w:b/>
                <w:sz w:val="24"/>
              </w:rPr>
            </w:pPr>
            <w:r>
              <w:rPr>
                <w:b/>
                <w:sz w:val="24"/>
                <w:lang w:val="en-US"/>
              </w:rPr>
              <w:t>34956-Е</w:t>
            </w:r>
          </w:p>
        </w:tc>
      </w:tr>
      <w:tr w:rsidR="0070664C" w:rsidRPr="00801E42" w:rsidTr="00DB34DD">
        <w:trPr>
          <w:trHeight w:val="20"/>
        </w:trPr>
        <w:tc>
          <w:tcPr>
            <w:tcW w:w="2206" w:type="pct"/>
          </w:tcPr>
          <w:p w:rsidR="00165325" w:rsidRPr="00801E42" w:rsidRDefault="001774F0" w:rsidP="00DB34DD">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tcPr>
          <w:p w:rsidR="00CC7A45" w:rsidRPr="00801E42" w:rsidRDefault="00801E42" w:rsidP="00DB34DD">
            <w:pPr>
              <w:pStyle w:val="TableParagraph"/>
              <w:ind w:left="0"/>
              <w:rPr>
                <w:b/>
                <w:sz w:val="24"/>
                <w:lang w:val="en-US"/>
              </w:rPr>
            </w:pPr>
            <w:hyperlink r:id="rId7" w:history="1">
              <w:r w:rsidR="001774F0">
                <w:rPr>
                  <w:b/>
                  <w:sz w:val="24"/>
                  <w:u w:val="thick"/>
                  <w:lang w:val="en-US"/>
                </w:rPr>
                <w:t>http</w:t>
              </w:r>
              <w:r w:rsidR="001774F0" w:rsidRPr="00801E42">
                <w:rPr>
                  <w:b/>
                  <w:sz w:val="24"/>
                  <w:u w:val="thick"/>
                  <w:lang w:val="en-US"/>
                </w:rPr>
                <w:t>://</w:t>
              </w:r>
              <w:r w:rsidR="001774F0">
                <w:rPr>
                  <w:b/>
                  <w:sz w:val="24"/>
                  <w:u w:val="thick"/>
                  <w:lang w:val="en-US"/>
                </w:rPr>
                <w:t>www</w:t>
              </w:r>
              <w:r w:rsidR="001774F0" w:rsidRPr="00801E42">
                <w:rPr>
                  <w:b/>
                  <w:sz w:val="24"/>
                  <w:u w:val="thick"/>
                  <w:lang w:val="en-US"/>
                </w:rPr>
                <w:t>.</w:t>
              </w:r>
              <w:r w:rsidR="001774F0">
                <w:rPr>
                  <w:b/>
                  <w:sz w:val="24"/>
                  <w:u w:val="thick"/>
                  <w:lang w:val="en-US"/>
                </w:rPr>
                <w:t>mrsk</w:t>
              </w:r>
              <w:r w:rsidR="001774F0" w:rsidRPr="00801E42">
                <w:rPr>
                  <w:b/>
                  <w:sz w:val="24"/>
                  <w:u w:val="thick"/>
                  <w:lang w:val="en-US"/>
                </w:rPr>
                <w:t>-</w:t>
              </w:r>
              <w:r w:rsidR="001774F0">
                <w:rPr>
                  <w:b/>
                  <w:sz w:val="24"/>
                  <w:u w:val="thick"/>
                  <w:lang w:val="en-US"/>
                </w:rPr>
                <w:t>yuga</w:t>
              </w:r>
              <w:r w:rsidR="001774F0" w:rsidRPr="00801E42">
                <w:rPr>
                  <w:b/>
                  <w:sz w:val="24"/>
                  <w:u w:val="thick"/>
                  <w:lang w:val="en-US"/>
                </w:rPr>
                <w:t>.</w:t>
              </w:r>
              <w:r w:rsidR="001774F0">
                <w:rPr>
                  <w:b/>
                  <w:sz w:val="24"/>
                  <w:u w:val="thick"/>
                  <w:lang w:val="en-US"/>
                </w:rPr>
                <w:t>ru</w:t>
              </w:r>
            </w:hyperlink>
            <w:r w:rsidR="001774F0" w:rsidRPr="00801E42">
              <w:rPr>
                <w:b/>
                <w:sz w:val="24"/>
                <w:lang w:val="en-US"/>
              </w:rPr>
              <w:t xml:space="preserve"> </w:t>
            </w:r>
          </w:p>
          <w:p w:rsidR="00165325" w:rsidRPr="00801E42" w:rsidRDefault="00801E42" w:rsidP="00DB34DD">
            <w:pPr>
              <w:pStyle w:val="TableParagraph"/>
              <w:ind w:left="0"/>
              <w:rPr>
                <w:b/>
                <w:sz w:val="24"/>
                <w:lang w:val="en-US"/>
              </w:rPr>
            </w:pPr>
            <w:hyperlink r:id="rId8" w:history="1">
              <w:r w:rsidR="001774F0" w:rsidRPr="00CC7A45">
                <w:rPr>
                  <w:b/>
                  <w:sz w:val="24"/>
                  <w:u w:val="thick"/>
                  <w:lang w:val="en-US"/>
                </w:rPr>
                <w:t>http</w:t>
              </w:r>
              <w:r w:rsidR="001774F0" w:rsidRPr="00801E42">
                <w:rPr>
                  <w:b/>
                  <w:sz w:val="24"/>
                  <w:u w:val="thick"/>
                  <w:lang w:val="en-US"/>
                </w:rPr>
                <w:t>://</w:t>
              </w:r>
              <w:r w:rsidR="001774F0" w:rsidRPr="00CC7A45">
                <w:rPr>
                  <w:b/>
                  <w:sz w:val="24"/>
                  <w:u w:val="thick"/>
                  <w:lang w:val="en-US"/>
                </w:rPr>
                <w:t>www</w:t>
              </w:r>
              <w:r w:rsidR="001774F0" w:rsidRPr="00801E42">
                <w:rPr>
                  <w:b/>
                  <w:sz w:val="24"/>
                  <w:u w:val="thick"/>
                  <w:lang w:val="en-US"/>
                </w:rPr>
                <w:t>.</w:t>
              </w:r>
              <w:r w:rsidR="001774F0" w:rsidRPr="00CC7A45">
                <w:rPr>
                  <w:b/>
                  <w:sz w:val="24"/>
                  <w:u w:val="thick"/>
                  <w:lang w:val="en-US"/>
                </w:rPr>
                <w:t>e</w:t>
              </w:r>
              <w:r w:rsidR="001774F0" w:rsidRPr="00801E42">
                <w:rPr>
                  <w:b/>
                  <w:sz w:val="24"/>
                  <w:u w:val="thick"/>
                  <w:lang w:val="en-US"/>
                </w:rPr>
                <w:t>-</w:t>
              </w:r>
            </w:hyperlink>
            <w:hyperlink r:id="rId9" w:history="1">
              <w:r w:rsidR="001774F0" w:rsidRPr="00DB34DD">
                <w:rPr>
                  <w:b/>
                  <w:sz w:val="24"/>
                  <w:u w:val="thick"/>
                  <w:lang w:val="en-US"/>
                </w:rPr>
                <w:t>disclosure</w:t>
              </w:r>
              <w:r w:rsidR="001774F0" w:rsidRPr="00801E42">
                <w:rPr>
                  <w:b/>
                  <w:sz w:val="24"/>
                  <w:u w:val="thick"/>
                  <w:lang w:val="en-US"/>
                </w:rPr>
                <w:t>.</w:t>
              </w:r>
              <w:r w:rsidR="001774F0" w:rsidRPr="00DB34DD">
                <w:rPr>
                  <w:b/>
                  <w:sz w:val="24"/>
                  <w:u w:val="thick"/>
                  <w:lang w:val="en-US"/>
                </w:rPr>
                <w:t>ru</w:t>
              </w:r>
              <w:r w:rsidR="001774F0" w:rsidRPr="00801E42">
                <w:rPr>
                  <w:b/>
                  <w:sz w:val="24"/>
                  <w:u w:val="thick"/>
                  <w:lang w:val="en-US"/>
                </w:rPr>
                <w:t>/</w:t>
              </w:r>
              <w:r w:rsidR="001774F0" w:rsidRPr="00DB34DD">
                <w:rPr>
                  <w:b/>
                  <w:sz w:val="24"/>
                  <w:u w:val="thick"/>
                  <w:lang w:val="en-US"/>
                </w:rPr>
                <w:t>portal</w:t>
              </w:r>
              <w:r w:rsidR="001774F0" w:rsidRPr="00801E42">
                <w:rPr>
                  <w:b/>
                  <w:sz w:val="24"/>
                  <w:u w:val="thick"/>
                  <w:lang w:val="en-US"/>
                </w:rPr>
                <w:t>/</w:t>
              </w:r>
              <w:r w:rsidR="001774F0" w:rsidRPr="00DB34DD">
                <w:rPr>
                  <w:b/>
                  <w:sz w:val="24"/>
                  <w:u w:val="thick"/>
                  <w:lang w:val="en-US"/>
                </w:rPr>
                <w:t>company</w:t>
              </w:r>
              <w:r w:rsidR="001774F0" w:rsidRPr="00801E42">
                <w:rPr>
                  <w:b/>
                  <w:sz w:val="24"/>
                  <w:u w:val="thick"/>
                  <w:lang w:val="en-US"/>
                </w:rPr>
                <w:t>.</w:t>
              </w:r>
              <w:r w:rsidR="001774F0" w:rsidRPr="00DB34DD">
                <w:rPr>
                  <w:b/>
                  <w:sz w:val="24"/>
                  <w:u w:val="thick"/>
                  <w:lang w:val="en-US"/>
                </w:rPr>
                <w:t>aspx</w:t>
              </w:r>
              <w:r w:rsidR="001774F0" w:rsidRPr="00801E42">
                <w:rPr>
                  <w:b/>
                  <w:sz w:val="24"/>
                  <w:u w:val="thick"/>
                  <w:lang w:val="en-US"/>
                </w:rPr>
                <w:t>?</w:t>
              </w:r>
              <w:r w:rsidR="001774F0" w:rsidRPr="00DB34DD">
                <w:rPr>
                  <w:b/>
                  <w:sz w:val="24"/>
                  <w:u w:val="thick"/>
                  <w:lang w:val="en-US"/>
                </w:rPr>
                <w:t>id</w:t>
              </w:r>
              <w:r w:rsidR="001774F0" w:rsidRPr="00801E42">
                <w:rPr>
                  <w:b/>
                  <w:sz w:val="24"/>
                  <w:u w:val="thick"/>
                  <w:lang w:val="en-US"/>
                </w:rPr>
                <w:t>=11999</w:t>
              </w:r>
            </w:hyperlink>
          </w:p>
        </w:tc>
      </w:tr>
      <w:tr w:rsidR="0070664C" w:rsidTr="00DB34DD">
        <w:trPr>
          <w:trHeight w:val="20"/>
        </w:trPr>
        <w:tc>
          <w:tcPr>
            <w:tcW w:w="2206" w:type="pct"/>
          </w:tcPr>
          <w:p w:rsidR="00165325" w:rsidRPr="00801E42" w:rsidRDefault="001774F0" w:rsidP="00DB34DD">
            <w:pPr>
              <w:pStyle w:val="TableParagraph"/>
              <w:ind w:left="0"/>
              <w:jc w:val="both"/>
              <w:rPr>
                <w:sz w:val="24"/>
                <w:lang w:val="en-US"/>
              </w:rPr>
            </w:pPr>
            <w:r>
              <w:rPr>
                <w:sz w:val="24"/>
                <w:lang w:val="en-US"/>
              </w:rPr>
              <w:t>1.8. Event effective date (material fact) of which the message is composed (if applicable):</w:t>
            </w:r>
          </w:p>
        </w:tc>
        <w:tc>
          <w:tcPr>
            <w:tcW w:w="2794" w:type="pct"/>
            <w:vAlign w:val="center"/>
          </w:tcPr>
          <w:p w:rsidR="00165325" w:rsidRDefault="001774F0" w:rsidP="00DB34DD">
            <w:pPr>
              <w:pStyle w:val="TableParagraph"/>
              <w:ind w:left="0"/>
              <w:rPr>
                <w:b/>
                <w:sz w:val="24"/>
              </w:rPr>
            </w:pPr>
            <w:r>
              <w:rPr>
                <w:b/>
                <w:sz w:val="24"/>
                <w:lang w:val="en-US"/>
              </w:rPr>
              <w:t>July 1, 2019</w:t>
            </w:r>
          </w:p>
        </w:tc>
      </w:tr>
      <w:tr w:rsidR="0070664C" w:rsidTr="00DB34DD">
        <w:trPr>
          <w:trHeight w:val="20"/>
        </w:trPr>
        <w:tc>
          <w:tcPr>
            <w:tcW w:w="5000" w:type="pct"/>
            <w:gridSpan w:val="2"/>
          </w:tcPr>
          <w:p w:rsidR="00165325" w:rsidRDefault="001774F0" w:rsidP="00AC347F">
            <w:pPr>
              <w:pStyle w:val="TableParagraph"/>
              <w:ind w:left="0"/>
              <w:jc w:val="center"/>
              <w:rPr>
                <w:sz w:val="24"/>
              </w:rPr>
            </w:pPr>
            <w:r>
              <w:rPr>
                <w:sz w:val="24"/>
                <w:lang w:val="en-US"/>
              </w:rPr>
              <w:t>2. Notice content</w:t>
            </w:r>
          </w:p>
        </w:tc>
      </w:tr>
      <w:tr w:rsidR="0070664C" w:rsidRPr="00801E42" w:rsidTr="00DB34DD">
        <w:trPr>
          <w:trHeight w:val="20"/>
        </w:trPr>
        <w:tc>
          <w:tcPr>
            <w:tcW w:w="5000" w:type="pct"/>
            <w:gridSpan w:val="2"/>
          </w:tcPr>
          <w:p w:rsidR="00165325" w:rsidRPr="00801E42" w:rsidRDefault="001774F0" w:rsidP="00F57F5F">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165325" w:rsidRPr="00801E42" w:rsidRDefault="00801E42" w:rsidP="00F57F5F">
            <w:pPr>
              <w:pStyle w:val="TableParagraph"/>
              <w:ind w:left="0"/>
              <w:jc w:val="both"/>
              <w:rPr>
                <w:b/>
                <w:lang w:val="en-US"/>
              </w:rPr>
            </w:pPr>
          </w:p>
          <w:p w:rsidR="00165325" w:rsidRPr="00801E42" w:rsidRDefault="001774F0" w:rsidP="00F57F5F">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165325" w:rsidRPr="00801E42" w:rsidRDefault="001774F0" w:rsidP="00F57F5F">
            <w:pPr>
              <w:pStyle w:val="TableParagraph"/>
              <w:ind w:left="0"/>
              <w:jc w:val="both"/>
              <w:rPr>
                <w:sz w:val="24"/>
                <w:lang w:val="en-US"/>
              </w:rPr>
            </w:pPr>
            <w:r>
              <w:rPr>
                <w:sz w:val="24"/>
                <w:lang w:val="en-US"/>
              </w:rPr>
              <w:t>"PRO" is 11 votes;</w:t>
            </w:r>
          </w:p>
          <w:p w:rsidR="00165325" w:rsidRPr="00801E42" w:rsidRDefault="001774F0" w:rsidP="00F57F5F">
            <w:pPr>
              <w:pStyle w:val="TableParagraph"/>
              <w:ind w:left="0"/>
              <w:jc w:val="both"/>
              <w:rPr>
                <w:sz w:val="24"/>
                <w:lang w:val="en-US"/>
              </w:rPr>
            </w:pPr>
            <w:r>
              <w:rPr>
                <w:sz w:val="24"/>
                <w:lang w:val="en-US"/>
              </w:rPr>
              <w:t>"CON" is 0 votes;</w:t>
            </w:r>
          </w:p>
          <w:p w:rsidR="00165325" w:rsidRPr="00801E42" w:rsidRDefault="001774F0" w:rsidP="00F57F5F">
            <w:pPr>
              <w:pStyle w:val="TableParagraph"/>
              <w:ind w:left="0"/>
              <w:jc w:val="both"/>
              <w:rPr>
                <w:sz w:val="24"/>
                <w:lang w:val="en-US"/>
              </w:rPr>
            </w:pPr>
            <w:r>
              <w:rPr>
                <w:sz w:val="24"/>
                <w:lang w:val="en-US"/>
              </w:rPr>
              <w:t>"ABSTAIN" is 0 votes.</w:t>
            </w:r>
          </w:p>
          <w:p w:rsidR="00165325" w:rsidRPr="00801E42" w:rsidRDefault="001774F0" w:rsidP="00F57F5F">
            <w:pPr>
              <w:pStyle w:val="TableParagraph"/>
              <w:ind w:left="0"/>
              <w:jc w:val="both"/>
              <w:rPr>
                <w:i/>
                <w:sz w:val="24"/>
                <w:lang w:val="en-US"/>
              </w:rPr>
            </w:pPr>
            <w:r>
              <w:rPr>
                <w:i/>
                <w:sz w:val="24"/>
                <w:lang w:val="en-US"/>
              </w:rPr>
              <w:t>On the agenda issue No. 1 of the meeting of the Board of Directors of IDGC of the South, PJSC, a Special Opinion of Vitaly Yurievich Zarhin, Member of the Board of Directors of the Company was received (Annex No. 4 to the Minutes of the Company's Board of Directors).</w:t>
            </w:r>
          </w:p>
          <w:p w:rsidR="00165325" w:rsidRPr="00801E42" w:rsidRDefault="00801E42" w:rsidP="00F57F5F">
            <w:pPr>
              <w:pStyle w:val="TableParagraph"/>
              <w:ind w:left="0"/>
              <w:jc w:val="both"/>
              <w:rPr>
                <w:b/>
                <w:sz w:val="24"/>
                <w:lang w:val="en-US"/>
              </w:rPr>
            </w:pPr>
          </w:p>
          <w:p w:rsidR="00165325" w:rsidRPr="00801E42" w:rsidRDefault="001774F0" w:rsidP="00F57F5F">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rsidR="00165325" w:rsidRPr="00801E42" w:rsidRDefault="001774F0" w:rsidP="00F57F5F">
            <w:pPr>
              <w:pStyle w:val="TableParagraph"/>
              <w:ind w:left="0"/>
              <w:jc w:val="both"/>
              <w:rPr>
                <w:sz w:val="24"/>
                <w:lang w:val="en-US"/>
              </w:rPr>
            </w:pPr>
            <w:r>
              <w:rPr>
                <w:sz w:val="24"/>
                <w:lang w:val="en-US"/>
              </w:rPr>
              <w:t>"PRO" is 9 votes;</w:t>
            </w:r>
          </w:p>
          <w:p w:rsidR="00165325" w:rsidRPr="00801E42" w:rsidRDefault="001774F0" w:rsidP="00F57F5F">
            <w:pPr>
              <w:pStyle w:val="TableParagraph"/>
              <w:ind w:left="0"/>
              <w:jc w:val="both"/>
              <w:rPr>
                <w:sz w:val="24"/>
                <w:lang w:val="en-US"/>
              </w:rPr>
            </w:pPr>
            <w:r>
              <w:rPr>
                <w:sz w:val="24"/>
                <w:lang w:val="en-US"/>
              </w:rPr>
              <w:t>"CON" is 2 votes;</w:t>
            </w:r>
          </w:p>
          <w:p w:rsidR="00165325" w:rsidRPr="00801E42" w:rsidRDefault="001774F0" w:rsidP="00F57F5F">
            <w:pPr>
              <w:pStyle w:val="TableParagraph"/>
              <w:ind w:left="0"/>
              <w:jc w:val="both"/>
              <w:rPr>
                <w:sz w:val="24"/>
                <w:lang w:val="en-US"/>
              </w:rPr>
            </w:pPr>
            <w:r>
              <w:rPr>
                <w:sz w:val="24"/>
                <w:lang w:val="en-US"/>
              </w:rPr>
              <w:t>"ABSTAIN" is 0 votes.</w:t>
            </w:r>
          </w:p>
          <w:p w:rsidR="00165325" w:rsidRPr="00801E42" w:rsidRDefault="00801E42" w:rsidP="00F57F5F">
            <w:pPr>
              <w:pStyle w:val="TableParagraph"/>
              <w:ind w:left="0"/>
              <w:jc w:val="both"/>
              <w:rPr>
                <w:b/>
                <w:sz w:val="24"/>
                <w:lang w:val="en-US"/>
              </w:rPr>
            </w:pPr>
          </w:p>
          <w:p w:rsidR="00165325" w:rsidRPr="00801E42" w:rsidRDefault="001774F0" w:rsidP="00F57F5F">
            <w:pPr>
              <w:pStyle w:val="TableParagraph"/>
              <w:ind w:left="0"/>
              <w:jc w:val="both"/>
              <w:rPr>
                <w:i/>
                <w:sz w:val="24"/>
                <w:lang w:val="en-US"/>
              </w:rPr>
            </w:pPr>
            <w:r>
              <w:rPr>
                <w:i/>
                <w:sz w:val="24"/>
                <w:lang w:val="en-US"/>
              </w:rPr>
              <w:t>On the agenda issue No. 2 of the meeting of the Board of Directors of IDGC of the South, PJSC, a Special Opinion of Vitaly Yurievich Zarhin, Member of the Board of Directors of the Company was received (Annex No. 4 to the Minutes of the Company's Board of Directors).</w:t>
            </w:r>
          </w:p>
          <w:p w:rsidR="00165325" w:rsidRPr="00801E42" w:rsidRDefault="00801E42" w:rsidP="00F57F5F">
            <w:pPr>
              <w:pStyle w:val="TableParagraph"/>
              <w:ind w:left="0"/>
              <w:jc w:val="both"/>
              <w:rPr>
                <w:b/>
                <w:sz w:val="24"/>
                <w:lang w:val="en-US"/>
              </w:rPr>
            </w:pPr>
          </w:p>
          <w:p w:rsidR="00165325" w:rsidRPr="00801E42" w:rsidRDefault="001774F0" w:rsidP="00F57F5F">
            <w:pPr>
              <w:pStyle w:val="TableParagraph"/>
              <w:ind w:left="0"/>
              <w:jc w:val="both"/>
              <w:rPr>
                <w:i/>
                <w:sz w:val="24"/>
                <w:lang w:val="en-US"/>
              </w:rPr>
            </w:pPr>
            <w:r>
              <w:rPr>
                <w:i/>
                <w:sz w:val="24"/>
                <w:lang w:val="en-US"/>
              </w:rPr>
              <w:t>On the agenda issue No. 2 of the meeting of the Board of Directors of IDGC of the South, PJSC, a Special Opinion of Andrey Vladimirovich Morozov, Member of the Board of Directors of the Company was received (Annex No. 5 to the Minutes of the Company's Board of Directors).</w:t>
            </w:r>
          </w:p>
        </w:tc>
      </w:tr>
      <w:tr w:rsidR="0070664C" w:rsidRPr="00801E42" w:rsidTr="00DB34DD">
        <w:trPr>
          <w:trHeight w:val="20"/>
        </w:trPr>
        <w:tc>
          <w:tcPr>
            <w:tcW w:w="5000" w:type="pct"/>
            <w:gridSpan w:val="2"/>
          </w:tcPr>
          <w:p w:rsidR="00165325" w:rsidRPr="00801E42" w:rsidRDefault="001774F0" w:rsidP="00F57F5F">
            <w:pPr>
              <w:pStyle w:val="TableParagraph"/>
              <w:ind w:left="0"/>
              <w:jc w:val="both"/>
              <w:rPr>
                <w:b/>
                <w:sz w:val="24"/>
                <w:lang w:val="en-US"/>
              </w:rPr>
            </w:pPr>
            <w:r>
              <w:rPr>
                <w:b/>
                <w:sz w:val="24"/>
                <w:lang w:val="en-US"/>
              </w:rPr>
              <w:t>Insider information disclosure on issue No. 1: On election of the Deputy Chairman of the Company's Board of Directors.</w:t>
            </w:r>
          </w:p>
        </w:tc>
      </w:tr>
      <w:tr w:rsidR="0070664C" w:rsidRPr="00801E42" w:rsidTr="00DB34DD">
        <w:trPr>
          <w:trHeight w:val="20"/>
        </w:trPr>
        <w:tc>
          <w:tcPr>
            <w:tcW w:w="5000" w:type="pct"/>
            <w:gridSpan w:val="2"/>
          </w:tcPr>
          <w:p w:rsidR="00165325" w:rsidRPr="00801E42" w:rsidRDefault="001774F0" w:rsidP="00F57F5F">
            <w:pPr>
              <w:pStyle w:val="TableParagraph"/>
              <w:ind w:left="0"/>
              <w:jc w:val="both"/>
              <w:rPr>
                <w:sz w:val="24"/>
                <w:lang w:val="en-US"/>
              </w:rPr>
            </w:pPr>
            <w:r>
              <w:rPr>
                <w:sz w:val="24"/>
                <w:lang w:val="en-US"/>
              </w:rPr>
              <w:t>2.2.1. Resolution content adopted by the Issuer's Board of Directors:</w:t>
            </w:r>
          </w:p>
          <w:p w:rsidR="00165325" w:rsidRPr="00801E42" w:rsidRDefault="001774F0" w:rsidP="00F57F5F">
            <w:pPr>
              <w:pStyle w:val="TableParagraph"/>
              <w:ind w:left="0"/>
              <w:jc w:val="both"/>
              <w:rPr>
                <w:sz w:val="24"/>
                <w:lang w:val="en-US"/>
              </w:rPr>
            </w:pPr>
            <w:r>
              <w:rPr>
                <w:sz w:val="24"/>
                <w:lang w:val="en-US"/>
              </w:rPr>
              <w:t>Elect Pavel Vladimirovich Grebtsov, Deputy Chairman of the Company's Board of Directors, as a Deputy General Director for Economics of Rosseti, PJSC.</w:t>
            </w:r>
          </w:p>
        </w:tc>
      </w:tr>
      <w:tr w:rsidR="0070664C" w:rsidRPr="00801E42" w:rsidTr="00DB34DD">
        <w:trPr>
          <w:trHeight w:val="20"/>
        </w:trPr>
        <w:tc>
          <w:tcPr>
            <w:tcW w:w="5000" w:type="pct"/>
            <w:gridSpan w:val="2"/>
          </w:tcPr>
          <w:p w:rsidR="00165325" w:rsidRPr="00801E42" w:rsidRDefault="001774F0" w:rsidP="00F57F5F">
            <w:pPr>
              <w:pStyle w:val="TableParagraph"/>
              <w:tabs>
                <w:tab w:val="left" w:pos="7805"/>
              </w:tabs>
              <w:ind w:left="0"/>
              <w:jc w:val="both"/>
              <w:rPr>
                <w:b/>
                <w:sz w:val="24"/>
                <w:lang w:val="en-US"/>
              </w:rPr>
            </w:pPr>
            <w:r>
              <w:rPr>
                <w:b/>
                <w:sz w:val="24"/>
                <w:lang w:val="en-US"/>
              </w:rPr>
              <w:t>Insider information disclosure on issue No. 2: Accession of the</w:t>
            </w:r>
          </w:p>
        </w:tc>
      </w:tr>
      <w:tr w:rsidR="0070664C" w:rsidRPr="00801E42" w:rsidTr="00DB34DD">
        <w:trPr>
          <w:trHeight w:val="20"/>
        </w:trPr>
        <w:tc>
          <w:tcPr>
            <w:tcW w:w="5000" w:type="pct"/>
            <w:gridSpan w:val="2"/>
          </w:tcPr>
          <w:p w:rsidR="00165325" w:rsidRPr="00801E42" w:rsidRDefault="001774F0" w:rsidP="00F57F5F">
            <w:pPr>
              <w:pStyle w:val="TableParagraph"/>
              <w:ind w:left="0"/>
              <w:jc w:val="both"/>
              <w:rPr>
                <w:b/>
                <w:sz w:val="24"/>
                <w:lang w:val="en-US"/>
              </w:rPr>
            </w:pPr>
            <w:r>
              <w:rPr>
                <w:b/>
                <w:sz w:val="24"/>
                <w:lang w:val="en-US"/>
              </w:rPr>
              <w:t>Company to the Unified Corporate Style Standard of Rosseti, PJSC and the Group of Companies of Rosseti, PJSC.</w:t>
            </w:r>
          </w:p>
        </w:tc>
      </w:tr>
      <w:tr w:rsidR="0070664C" w:rsidRPr="00801E42" w:rsidTr="00DB34DD">
        <w:trPr>
          <w:trHeight w:val="20"/>
        </w:trPr>
        <w:tc>
          <w:tcPr>
            <w:tcW w:w="5000" w:type="pct"/>
            <w:gridSpan w:val="2"/>
          </w:tcPr>
          <w:p w:rsidR="00165325" w:rsidRPr="00801E42" w:rsidRDefault="001774F0" w:rsidP="00F57F5F">
            <w:pPr>
              <w:pStyle w:val="TableParagraph"/>
              <w:ind w:left="0"/>
              <w:jc w:val="both"/>
              <w:rPr>
                <w:sz w:val="24"/>
                <w:lang w:val="en-US"/>
              </w:rPr>
            </w:pPr>
            <w:r>
              <w:rPr>
                <w:sz w:val="24"/>
                <w:lang w:val="en-US"/>
              </w:rPr>
              <w:t>2.2.2. Resolution content adopted by the Issuer's Board of Directors:</w:t>
            </w:r>
          </w:p>
          <w:p w:rsidR="00165325" w:rsidRPr="00801E42" w:rsidRDefault="001774F0" w:rsidP="00F57F5F">
            <w:pPr>
              <w:pStyle w:val="TableParagraph"/>
              <w:numPr>
                <w:ilvl w:val="0"/>
                <w:numId w:val="2"/>
              </w:numPr>
              <w:tabs>
                <w:tab w:val="left" w:pos="1020"/>
              </w:tabs>
              <w:ind w:left="0" w:firstLine="572"/>
              <w:jc w:val="both"/>
              <w:rPr>
                <w:sz w:val="24"/>
                <w:lang w:val="en-US"/>
              </w:rPr>
            </w:pPr>
            <w:r>
              <w:rPr>
                <w:sz w:val="24"/>
                <w:lang w:val="en-US"/>
              </w:rPr>
              <w:t xml:space="preserve">Join the Unified Corporate Style Standard of Rosseti, PJSC and the organizations of the </w:t>
            </w:r>
            <w:r>
              <w:rPr>
                <w:sz w:val="24"/>
                <w:lang w:val="en-US"/>
              </w:rPr>
              <w:lastRenderedPageBreak/>
              <w:t>Rosseti Group of Companies, approved by the resolution of the Board of Directors of Rosseti, PJSC (Minutes No. 353 dated April 30, 2019, issue 5), as per Annex No. 1 to this resolution of the Company's Board of Directors.</w:t>
            </w:r>
          </w:p>
          <w:p w:rsidR="00165325" w:rsidRPr="00801E42" w:rsidRDefault="001774F0" w:rsidP="00F57F5F">
            <w:pPr>
              <w:pStyle w:val="TableParagraph"/>
              <w:numPr>
                <w:ilvl w:val="0"/>
                <w:numId w:val="2"/>
              </w:numPr>
              <w:tabs>
                <w:tab w:val="left" w:pos="1020"/>
              </w:tabs>
              <w:ind w:left="0" w:firstLine="572"/>
              <w:jc w:val="both"/>
              <w:rPr>
                <w:sz w:val="24"/>
                <w:lang w:val="en-US"/>
              </w:rPr>
            </w:pPr>
            <w:r>
              <w:rPr>
                <w:sz w:val="24"/>
                <w:lang w:val="en-US"/>
              </w:rPr>
              <w:t>Approve the Regulations on the Company's corporate identity management developed in accordance with paragraph 1 of the resolution in accordance with Annex 2 to this resolution of the Board of Directors.</w:t>
            </w:r>
          </w:p>
          <w:p w:rsidR="00165325" w:rsidRPr="00801E42" w:rsidRDefault="001774F0" w:rsidP="00F57F5F">
            <w:pPr>
              <w:pStyle w:val="TableParagraph"/>
              <w:numPr>
                <w:ilvl w:val="0"/>
                <w:numId w:val="2"/>
              </w:numPr>
              <w:tabs>
                <w:tab w:val="left" w:pos="1020"/>
              </w:tabs>
              <w:ind w:left="0" w:firstLine="572"/>
              <w:jc w:val="both"/>
              <w:rPr>
                <w:sz w:val="24"/>
                <w:lang w:val="en-US"/>
              </w:rPr>
            </w:pPr>
            <w:r>
              <w:rPr>
                <w:sz w:val="24"/>
                <w:lang w:val="en-US"/>
              </w:rPr>
              <w:t>Approve the Company's Roadmap for the transition of the Company to the Unified Standard of Corporate Style of Rosseti, PJSC, and organizations of the Rosseti Group of Companies as per Annex 3 to this resolution of the Company's Board of Directors.</w:t>
            </w:r>
          </w:p>
          <w:p w:rsidR="00165325" w:rsidRPr="00801E42" w:rsidRDefault="001774F0" w:rsidP="00F57F5F">
            <w:pPr>
              <w:pStyle w:val="TableParagraph"/>
              <w:numPr>
                <w:ilvl w:val="0"/>
                <w:numId w:val="2"/>
              </w:numPr>
              <w:tabs>
                <w:tab w:val="left" w:pos="1019"/>
                <w:tab w:val="left" w:pos="1020"/>
              </w:tabs>
              <w:ind w:left="0" w:firstLine="572"/>
              <w:jc w:val="both"/>
              <w:rPr>
                <w:sz w:val="24"/>
                <w:lang w:val="en-US"/>
              </w:rPr>
            </w:pPr>
            <w:r w:rsidRPr="00DB34DD">
              <w:rPr>
                <w:sz w:val="24"/>
                <w:lang w:val="en-US"/>
              </w:rPr>
              <w:t>Establish that the resolution of the Board of Directors dated October 27, 2015 (Minutes No. 169/2015 dated October 30, 2015) on issue No. 3 "On approval of the Company's internal document: The Regulations for managing the corporate identity of IDGC of the South, PJSC" is valid only to the extent not contradicting paragraphs 1-3 of this resolution of the Board of Directors until the end of the transition period determined by the corporate identity carriers in accordance with the Unified Standard of Corporate Identity of Rosseti, PJSC, and the organizations of the Rosseti Group of Companies (Annex No. 1 to this resolution of the Board of Directors), the Regulations for managing the corporate identity of the Company (Annex No. 2 to this resolution) and the Roadmap for the transition of the Company to the Unified Standard of Corporate Style of Rosseti, PJSC, and organizations of the Group of Companies of Rosseti, PJSC (Annex No. 3 to this resolution of the Company's Board of Directors).</w:t>
            </w:r>
          </w:p>
        </w:tc>
      </w:tr>
      <w:tr w:rsidR="0070664C" w:rsidTr="00B92F25">
        <w:trPr>
          <w:trHeight w:val="20"/>
        </w:trPr>
        <w:tc>
          <w:tcPr>
            <w:tcW w:w="5000" w:type="pct"/>
            <w:gridSpan w:val="2"/>
            <w:tcBorders>
              <w:bottom w:val="single" w:sz="4" w:space="0" w:color="000000"/>
            </w:tcBorders>
          </w:tcPr>
          <w:p w:rsidR="00165325" w:rsidRPr="00801E42" w:rsidRDefault="001774F0" w:rsidP="00F57F5F">
            <w:pPr>
              <w:pStyle w:val="TableParagraph"/>
              <w:numPr>
                <w:ilvl w:val="1"/>
                <w:numId w:val="1"/>
              </w:numPr>
              <w:tabs>
                <w:tab w:val="left" w:pos="559"/>
              </w:tabs>
              <w:ind w:left="0" w:firstLine="0"/>
              <w:jc w:val="both"/>
              <w:rPr>
                <w:b/>
                <w:i/>
                <w:sz w:val="24"/>
                <w:lang w:val="en-US"/>
              </w:rPr>
            </w:pPr>
            <w:r w:rsidRPr="00DB34DD">
              <w:rPr>
                <w:sz w:val="24"/>
                <w:lang w:val="en-US"/>
              </w:rPr>
              <w:lastRenderedPageBreak/>
              <w:t xml:space="preserve">Date of the meeting of the Issuer's Board of Directors at which the relevant resolutions were adopted: </w:t>
            </w:r>
            <w:r>
              <w:rPr>
                <w:b/>
                <w:i/>
                <w:sz w:val="24"/>
                <w:lang w:val="en-US"/>
              </w:rPr>
              <w:t>June 28, 2019.</w:t>
            </w:r>
          </w:p>
          <w:p w:rsidR="00165325" w:rsidRDefault="001774F0" w:rsidP="00F57F5F">
            <w:pPr>
              <w:pStyle w:val="TableParagraph"/>
              <w:numPr>
                <w:ilvl w:val="1"/>
                <w:numId w:val="1"/>
              </w:numPr>
              <w:tabs>
                <w:tab w:val="left" w:pos="648"/>
              </w:tabs>
              <w:ind w:left="0" w:firstLine="0"/>
              <w:jc w:val="both"/>
              <w:rPr>
                <w:b/>
                <w:i/>
                <w:sz w:val="24"/>
              </w:rPr>
            </w:pPr>
            <w:r>
              <w:rPr>
                <w:sz w:val="24"/>
                <w:lang w:val="en-US"/>
              </w:rPr>
              <w:t xml:space="preserve">Date and number of the minutes of the meeting of the Issuer's Board of Directors at which the relevant resolutions were adopted: </w:t>
            </w:r>
            <w:r>
              <w:rPr>
                <w:b/>
                <w:i/>
                <w:sz w:val="24"/>
                <w:lang w:val="en-US"/>
              </w:rPr>
              <w:t>July 1, 2019, Minutes. No. 326/2019.</w:t>
            </w:r>
          </w:p>
        </w:tc>
      </w:tr>
      <w:tr w:rsidR="0070664C" w:rsidTr="00B92F25">
        <w:trPr>
          <w:trHeight w:val="20"/>
        </w:trPr>
        <w:tc>
          <w:tcPr>
            <w:tcW w:w="5000" w:type="pct"/>
            <w:gridSpan w:val="2"/>
            <w:tcBorders>
              <w:bottom w:val="single" w:sz="4" w:space="0" w:color="auto"/>
            </w:tcBorders>
          </w:tcPr>
          <w:p w:rsidR="00DB34DD" w:rsidRDefault="001774F0" w:rsidP="00DB34DD">
            <w:pPr>
              <w:pStyle w:val="TableParagraph"/>
              <w:ind w:left="0"/>
              <w:jc w:val="center"/>
              <w:rPr>
                <w:sz w:val="24"/>
              </w:rPr>
            </w:pPr>
            <w:r>
              <w:rPr>
                <w:sz w:val="24"/>
                <w:lang w:val="en-US"/>
              </w:rPr>
              <w:t>3. Signature</w:t>
            </w:r>
          </w:p>
        </w:tc>
      </w:tr>
    </w:tbl>
    <w:tbl>
      <w:tblPr>
        <w:tblW w:w="4963" w:type="pct"/>
        <w:tblInd w:w="40" w:type="dxa"/>
        <w:tblCellMar>
          <w:left w:w="40" w:type="dxa"/>
          <w:right w:w="40" w:type="dxa"/>
        </w:tblCellMar>
        <w:tblLook w:val="0000" w:firstRow="0" w:lastRow="0" w:firstColumn="0" w:lastColumn="0" w:noHBand="0" w:noVBand="0"/>
      </w:tblPr>
      <w:tblGrid>
        <w:gridCol w:w="5733"/>
        <w:gridCol w:w="1532"/>
        <w:gridCol w:w="2492"/>
      </w:tblGrid>
      <w:tr w:rsidR="0070664C" w:rsidTr="00CC7A45">
        <w:trPr>
          <w:trHeight w:val="250"/>
        </w:trPr>
        <w:tc>
          <w:tcPr>
            <w:tcW w:w="2938" w:type="pct"/>
            <w:vMerge w:val="restart"/>
            <w:tcBorders>
              <w:top w:val="nil"/>
              <w:left w:val="single" w:sz="6" w:space="0" w:color="auto"/>
              <w:right w:val="nil"/>
            </w:tcBorders>
          </w:tcPr>
          <w:p w:rsidR="00CC7A45" w:rsidRPr="00801E42" w:rsidRDefault="001774F0" w:rsidP="00977C4B">
            <w:pPr>
              <w:widowControl/>
              <w:adjustRightInd w:val="0"/>
              <w:rPr>
                <w:rFonts w:eastAsiaTheme="minorHAnsi"/>
                <w:color w:val="000000"/>
                <w:lang w:val="en-US" w:bidi="ar-SA"/>
              </w:rPr>
            </w:pPr>
            <w:r w:rsidRPr="00CA41CA">
              <w:rPr>
                <w:rFonts w:eastAsiaTheme="minorHAnsi"/>
                <w:color w:val="000000"/>
                <w:lang w:val="en-US" w:bidi="ar-SA"/>
              </w:rPr>
              <w:t>3.1. Head of Corporate Governance and Shareholder Relations Department (by proxy No. 86-19 dated January 1, 2019)</w:t>
            </w:r>
          </w:p>
        </w:tc>
        <w:tc>
          <w:tcPr>
            <w:tcW w:w="785" w:type="pct"/>
            <w:tcBorders>
              <w:top w:val="nil"/>
              <w:left w:val="nil"/>
              <w:bottom w:val="single" w:sz="6" w:space="0" w:color="auto"/>
              <w:right w:val="nil"/>
            </w:tcBorders>
          </w:tcPr>
          <w:p w:rsidR="00CC7A45" w:rsidRPr="00801E42" w:rsidRDefault="00801E42" w:rsidP="00977C4B">
            <w:pPr>
              <w:widowControl/>
              <w:adjustRightInd w:val="0"/>
              <w:rPr>
                <w:rFonts w:eastAsiaTheme="minorHAnsi"/>
                <w:sz w:val="24"/>
                <w:szCs w:val="24"/>
                <w:lang w:val="en-US" w:eastAsia="en-US" w:bidi="ar-SA"/>
              </w:rPr>
            </w:pPr>
          </w:p>
        </w:tc>
        <w:tc>
          <w:tcPr>
            <w:tcW w:w="1277" w:type="pct"/>
            <w:tcBorders>
              <w:top w:val="nil"/>
              <w:left w:val="nil"/>
              <w:bottom w:val="nil"/>
              <w:right w:val="single" w:sz="6" w:space="0" w:color="auto"/>
            </w:tcBorders>
            <w:vAlign w:val="bottom"/>
          </w:tcPr>
          <w:p w:rsidR="00CC7A45" w:rsidRPr="00CA41CA" w:rsidRDefault="001774F0" w:rsidP="00CC7A45">
            <w:pPr>
              <w:widowControl/>
              <w:adjustRightInd w:val="0"/>
              <w:rPr>
                <w:rFonts w:eastAsiaTheme="minorHAnsi"/>
                <w:color w:val="000000"/>
                <w:lang w:bidi="ar-SA"/>
              </w:rPr>
            </w:pPr>
            <w:r w:rsidRPr="00CA41CA">
              <w:rPr>
                <w:rFonts w:eastAsiaTheme="minorHAnsi"/>
                <w:color w:val="000000"/>
                <w:lang w:val="en-US" w:bidi="ar-SA"/>
              </w:rPr>
              <w:t>Pavlova E.N.</w:t>
            </w:r>
          </w:p>
        </w:tc>
      </w:tr>
      <w:tr w:rsidR="0070664C" w:rsidTr="00CC7A45">
        <w:trPr>
          <w:trHeight w:val="285"/>
        </w:trPr>
        <w:tc>
          <w:tcPr>
            <w:tcW w:w="2938" w:type="pct"/>
            <w:vMerge/>
            <w:tcBorders>
              <w:left w:val="single" w:sz="6" w:space="0" w:color="auto"/>
              <w:bottom w:val="nil"/>
              <w:right w:val="nil"/>
            </w:tcBorders>
          </w:tcPr>
          <w:p w:rsidR="00CC7A45" w:rsidRPr="00CA41CA" w:rsidRDefault="00801E42" w:rsidP="00977C4B">
            <w:pPr>
              <w:widowControl/>
              <w:adjustRightInd w:val="0"/>
              <w:rPr>
                <w:rFonts w:eastAsiaTheme="minorHAnsi"/>
                <w:color w:val="000000"/>
                <w:lang w:bidi="ar-SA"/>
              </w:rPr>
            </w:pPr>
          </w:p>
        </w:tc>
        <w:tc>
          <w:tcPr>
            <w:tcW w:w="785" w:type="pct"/>
            <w:tcBorders>
              <w:top w:val="single" w:sz="6" w:space="0" w:color="auto"/>
              <w:left w:val="nil"/>
              <w:bottom w:val="nil"/>
              <w:right w:val="nil"/>
            </w:tcBorders>
          </w:tcPr>
          <w:p w:rsidR="00CC7A45" w:rsidRDefault="001774F0" w:rsidP="00977C4B">
            <w:pPr>
              <w:widowControl/>
              <w:adjustRightInd w:val="0"/>
              <w:rPr>
                <w:rFonts w:eastAsiaTheme="minorHAnsi"/>
                <w:color w:val="000000"/>
                <w:lang w:val="en-US" w:bidi="ar-SA"/>
              </w:rPr>
            </w:pPr>
            <w:r w:rsidRPr="00CA41CA">
              <w:rPr>
                <w:rFonts w:eastAsiaTheme="minorHAnsi"/>
                <w:color w:val="000000"/>
                <w:lang w:val="en-US" w:bidi="ar-SA"/>
              </w:rPr>
              <w:t xml:space="preserve">(signature) </w:t>
            </w:r>
          </w:p>
          <w:p w:rsidR="00CC7A45" w:rsidRPr="00CA41CA" w:rsidRDefault="00801E42" w:rsidP="00CC7A45">
            <w:pPr>
              <w:widowControl/>
              <w:adjustRightInd w:val="0"/>
              <w:spacing w:after="120"/>
              <w:rPr>
                <w:rFonts w:eastAsiaTheme="minorHAnsi"/>
                <w:color w:val="000000"/>
                <w:lang w:bidi="ar-SA"/>
              </w:rPr>
            </w:pPr>
            <w:r w:rsidRPr="00801E42">
              <w:rPr>
                <w:rFonts w:eastAsiaTheme="minorHAnsi"/>
                <w:color w:val="000000"/>
                <w:lang w:val="en-US" w:bidi="ar-SA"/>
              </w:rPr>
              <w:t>L.S.</w:t>
            </w:r>
            <w:bookmarkStart w:id="0" w:name="_GoBack"/>
            <w:bookmarkEnd w:id="0"/>
          </w:p>
        </w:tc>
        <w:tc>
          <w:tcPr>
            <w:tcW w:w="1277" w:type="pct"/>
            <w:tcBorders>
              <w:top w:val="nil"/>
              <w:left w:val="nil"/>
              <w:bottom w:val="nil"/>
              <w:right w:val="single" w:sz="6" w:space="0" w:color="auto"/>
            </w:tcBorders>
          </w:tcPr>
          <w:p w:rsidR="00CC7A45" w:rsidRPr="00CA41CA" w:rsidRDefault="00801E42" w:rsidP="00977C4B">
            <w:pPr>
              <w:widowControl/>
              <w:adjustRightInd w:val="0"/>
              <w:rPr>
                <w:rFonts w:eastAsiaTheme="minorHAnsi"/>
                <w:sz w:val="24"/>
                <w:szCs w:val="24"/>
                <w:lang w:eastAsia="en-US" w:bidi="ar-SA"/>
              </w:rPr>
            </w:pPr>
          </w:p>
        </w:tc>
      </w:tr>
    </w:tbl>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912"/>
        <w:gridCol w:w="1169"/>
        <w:gridCol w:w="6440"/>
      </w:tblGrid>
      <w:tr w:rsidR="0070664C" w:rsidTr="00DB34DD">
        <w:trPr>
          <w:trHeight w:val="20"/>
        </w:trPr>
        <w:tc>
          <w:tcPr>
            <w:tcW w:w="635" w:type="pct"/>
            <w:tcBorders>
              <w:top w:val="nil"/>
              <w:right w:val="nil"/>
            </w:tcBorders>
          </w:tcPr>
          <w:p w:rsidR="00165325" w:rsidRDefault="001774F0" w:rsidP="00DB34DD">
            <w:pPr>
              <w:pStyle w:val="TableParagraph"/>
              <w:ind w:left="0"/>
              <w:rPr>
                <w:sz w:val="24"/>
              </w:rPr>
            </w:pPr>
            <w:r>
              <w:rPr>
                <w:sz w:val="24"/>
                <w:lang w:val="en-US"/>
              </w:rPr>
              <w:t>3.2. Date</w:t>
            </w:r>
          </w:p>
        </w:tc>
        <w:tc>
          <w:tcPr>
            <w:tcW w:w="467" w:type="pct"/>
            <w:tcBorders>
              <w:top w:val="nil"/>
              <w:left w:val="nil"/>
              <w:right w:val="nil"/>
            </w:tcBorders>
          </w:tcPr>
          <w:p w:rsidR="00165325" w:rsidRDefault="001774F0" w:rsidP="00BF6A62">
            <w:pPr>
              <w:pStyle w:val="TableParagraph"/>
              <w:spacing w:after="120"/>
              <w:ind w:left="0"/>
              <w:rPr>
                <w:sz w:val="24"/>
              </w:rPr>
            </w:pPr>
            <w:r w:rsidRPr="00BF6A62">
              <w:rPr>
                <w:sz w:val="24"/>
                <w:u w:val="single"/>
                <w:lang w:val="en-US"/>
              </w:rPr>
              <w:t>July</w:t>
            </w:r>
          </w:p>
        </w:tc>
        <w:tc>
          <w:tcPr>
            <w:tcW w:w="599" w:type="pct"/>
            <w:tcBorders>
              <w:top w:val="nil"/>
              <w:left w:val="nil"/>
              <w:right w:val="nil"/>
            </w:tcBorders>
          </w:tcPr>
          <w:p w:rsidR="00165325" w:rsidRPr="00BF6A62" w:rsidRDefault="001774F0" w:rsidP="00DB34DD">
            <w:pPr>
              <w:pStyle w:val="TableParagraph"/>
              <w:ind w:left="0"/>
              <w:rPr>
                <w:sz w:val="24"/>
                <w:u w:val="single"/>
              </w:rPr>
            </w:pPr>
            <w:r w:rsidRPr="00BF6A62">
              <w:rPr>
                <w:sz w:val="24"/>
                <w:u w:val="single"/>
                <w:lang w:val="en-US"/>
              </w:rPr>
              <w:t>"02",</w:t>
            </w:r>
          </w:p>
        </w:tc>
        <w:tc>
          <w:tcPr>
            <w:tcW w:w="3299" w:type="pct"/>
            <w:tcBorders>
              <w:top w:val="nil"/>
              <w:left w:val="nil"/>
            </w:tcBorders>
          </w:tcPr>
          <w:p w:rsidR="00165325" w:rsidRDefault="001774F0" w:rsidP="00DB34DD">
            <w:pPr>
              <w:pStyle w:val="TableParagraph"/>
              <w:ind w:left="0"/>
              <w:rPr>
                <w:sz w:val="24"/>
              </w:rPr>
            </w:pPr>
            <w:r>
              <w:rPr>
                <w:sz w:val="24"/>
                <w:lang w:val="en-US"/>
              </w:rPr>
              <w:t>20</w:t>
            </w:r>
            <w:r w:rsidRPr="00BF6A62">
              <w:rPr>
                <w:sz w:val="24"/>
                <w:u w:val="single"/>
                <w:lang w:val="en-US"/>
              </w:rPr>
              <w:t>19</w:t>
            </w:r>
            <w:r>
              <w:rPr>
                <w:sz w:val="24"/>
                <w:lang w:val="en-US"/>
              </w:rPr>
              <w:t xml:space="preserve"> </w:t>
            </w:r>
          </w:p>
        </w:tc>
      </w:tr>
    </w:tbl>
    <w:p w:rsidR="00CA41CA" w:rsidRPr="00CA41CA" w:rsidRDefault="00801E42" w:rsidP="00CC7A45">
      <w:pPr>
        <w:rPr>
          <w:lang w:val="en-US"/>
        </w:rPr>
      </w:pPr>
    </w:p>
    <w:sectPr w:rsidR="00CA41CA" w:rsidRPr="00CA41CA" w:rsidSect="00DB34DD">
      <w:headerReference w:type="default" r:id="rId10"/>
      <w:pgSz w:w="11910" w:h="16850"/>
      <w:pgMar w:top="567" w:right="1080" w:bottom="709"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68" w:rsidRDefault="001774F0">
      <w:r>
        <w:separator/>
      </w:r>
    </w:p>
  </w:endnote>
  <w:endnote w:type="continuationSeparator" w:id="0">
    <w:p w:rsidR="00383668" w:rsidRDefault="0017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68" w:rsidRDefault="001774F0">
      <w:r>
        <w:separator/>
      </w:r>
    </w:p>
  </w:footnote>
  <w:footnote w:type="continuationSeparator" w:id="0">
    <w:p w:rsidR="00383668" w:rsidRDefault="0017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25" w:rsidRDefault="001774F0" w:rsidP="00DB34DD">
    <w:pPr>
      <w:spacing w:before="10"/>
      <w:ind w:left="40"/>
      <w:jc w:val="right"/>
      <w:rPr>
        <w:lang w:val="en-US"/>
      </w:rPr>
    </w:pPr>
    <w:r w:rsidRPr="00DB34DD">
      <w:fldChar w:fldCharType="begin"/>
    </w:r>
    <w:r w:rsidRPr="00DB34DD">
      <w:rPr>
        <w:sz w:val="20"/>
      </w:rPr>
      <w:instrText xml:space="preserve"> PAGE </w:instrText>
    </w:r>
    <w:r w:rsidRPr="00DB34DD">
      <w:fldChar w:fldCharType="separate"/>
    </w:r>
    <w:r w:rsidR="00801E42">
      <w:rPr>
        <w:noProof/>
        <w:sz w:val="20"/>
      </w:rPr>
      <w:t>2</w:t>
    </w:r>
    <w:r w:rsidRPr="00DB34DD">
      <w:fldChar w:fldCharType="end"/>
    </w:r>
  </w:p>
  <w:p w:rsidR="00DB34DD" w:rsidRPr="00DB34DD" w:rsidRDefault="00801E42" w:rsidP="00DB34DD">
    <w:pPr>
      <w:spacing w:before="10"/>
      <w:ind w:left="40"/>
      <w:jc w:val="right"/>
      <w:rPr>
        <w:b/>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25DE"/>
    <w:multiLevelType w:val="multilevel"/>
    <w:tmpl w:val="4ABEAA96"/>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8"/>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 w15:restartNumberingAfterBreak="0">
    <w:nsid w:val="4B0128CA"/>
    <w:multiLevelType w:val="hybridMultilevel"/>
    <w:tmpl w:val="33024E4C"/>
    <w:lvl w:ilvl="0" w:tplc="723CEC56">
      <w:start w:val="1"/>
      <w:numFmt w:val="decimal"/>
      <w:lvlText w:val="%1."/>
      <w:lvlJc w:val="left"/>
      <w:pPr>
        <w:ind w:left="26" w:hanging="428"/>
        <w:jc w:val="left"/>
      </w:pPr>
      <w:rPr>
        <w:rFonts w:ascii="Times New Roman" w:eastAsia="Times New Roman" w:hAnsi="Times New Roman" w:cs="Times New Roman" w:hint="default"/>
        <w:spacing w:val="-22"/>
        <w:w w:val="100"/>
        <w:sz w:val="24"/>
        <w:szCs w:val="24"/>
        <w:lang w:val="ru-RU" w:eastAsia="ru-RU" w:bidi="ru-RU"/>
      </w:rPr>
    </w:lvl>
    <w:lvl w:ilvl="1" w:tplc="1E667686">
      <w:numFmt w:val="bullet"/>
      <w:lvlText w:val="•"/>
      <w:lvlJc w:val="left"/>
      <w:pPr>
        <w:ind w:left="981" w:hanging="428"/>
      </w:pPr>
      <w:rPr>
        <w:rFonts w:hint="default"/>
        <w:lang w:val="ru-RU" w:eastAsia="ru-RU" w:bidi="ru-RU"/>
      </w:rPr>
    </w:lvl>
    <w:lvl w:ilvl="2" w:tplc="8DA6BF1C">
      <w:numFmt w:val="bullet"/>
      <w:lvlText w:val="•"/>
      <w:lvlJc w:val="left"/>
      <w:pPr>
        <w:ind w:left="1942" w:hanging="428"/>
      </w:pPr>
      <w:rPr>
        <w:rFonts w:hint="default"/>
        <w:lang w:val="ru-RU" w:eastAsia="ru-RU" w:bidi="ru-RU"/>
      </w:rPr>
    </w:lvl>
    <w:lvl w:ilvl="3" w:tplc="36A24E18">
      <w:numFmt w:val="bullet"/>
      <w:lvlText w:val="•"/>
      <w:lvlJc w:val="left"/>
      <w:pPr>
        <w:ind w:left="2903" w:hanging="428"/>
      </w:pPr>
      <w:rPr>
        <w:rFonts w:hint="default"/>
        <w:lang w:val="ru-RU" w:eastAsia="ru-RU" w:bidi="ru-RU"/>
      </w:rPr>
    </w:lvl>
    <w:lvl w:ilvl="4" w:tplc="81A03FD8">
      <w:numFmt w:val="bullet"/>
      <w:lvlText w:val="•"/>
      <w:lvlJc w:val="left"/>
      <w:pPr>
        <w:ind w:left="3864" w:hanging="428"/>
      </w:pPr>
      <w:rPr>
        <w:rFonts w:hint="default"/>
        <w:lang w:val="ru-RU" w:eastAsia="ru-RU" w:bidi="ru-RU"/>
      </w:rPr>
    </w:lvl>
    <w:lvl w:ilvl="5" w:tplc="9DFC6476">
      <w:numFmt w:val="bullet"/>
      <w:lvlText w:val="•"/>
      <w:lvlJc w:val="left"/>
      <w:pPr>
        <w:ind w:left="4825" w:hanging="428"/>
      </w:pPr>
      <w:rPr>
        <w:rFonts w:hint="default"/>
        <w:lang w:val="ru-RU" w:eastAsia="ru-RU" w:bidi="ru-RU"/>
      </w:rPr>
    </w:lvl>
    <w:lvl w:ilvl="6" w:tplc="649411A8">
      <w:numFmt w:val="bullet"/>
      <w:lvlText w:val="•"/>
      <w:lvlJc w:val="left"/>
      <w:pPr>
        <w:ind w:left="5786" w:hanging="428"/>
      </w:pPr>
      <w:rPr>
        <w:rFonts w:hint="default"/>
        <w:lang w:val="ru-RU" w:eastAsia="ru-RU" w:bidi="ru-RU"/>
      </w:rPr>
    </w:lvl>
    <w:lvl w:ilvl="7" w:tplc="C6C297FE">
      <w:numFmt w:val="bullet"/>
      <w:lvlText w:val="•"/>
      <w:lvlJc w:val="left"/>
      <w:pPr>
        <w:ind w:left="6747" w:hanging="428"/>
      </w:pPr>
      <w:rPr>
        <w:rFonts w:hint="default"/>
        <w:lang w:val="ru-RU" w:eastAsia="ru-RU" w:bidi="ru-RU"/>
      </w:rPr>
    </w:lvl>
    <w:lvl w:ilvl="8" w:tplc="52421064">
      <w:numFmt w:val="bullet"/>
      <w:lvlText w:val="•"/>
      <w:lvlJc w:val="left"/>
      <w:pPr>
        <w:ind w:left="7708" w:hanging="428"/>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0664C"/>
    <w:rsid w:val="001774F0"/>
    <w:rsid w:val="00383668"/>
    <w:rsid w:val="0070664C"/>
    <w:rsid w:val="0080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4E178-0339-40B8-8154-F7233912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6532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165325"/>
    <w:tblPr>
      <w:tblInd w:w="0" w:type="dxa"/>
      <w:tblCellMar>
        <w:top w:w="0" w:type="dxa"/>
        <w:left w:w="0" w:type="dxa"/>
        <w:bottom w:w="0" w:type="dxa"/>
        <w:right w:w="0" w:type="dxa"/>
      </w:tblCellMar>
    </w:tblPr>
  </w:style>
  <w:style w:type="paragraph" w:styleId="a3">
    <w:name w:val="Body Text"/>
    <w:basedOn w:val="a"/>
    <w:uiPriority w:val="1"/>
    <w:qFormat/>
    <w:rsid w:val="00165325"/>
    <w:rPr>
      <w:b/>
      <w:bCs/>
      <w:sz w:val="24"/>
      <w:szCs w:val="24"/>
    </w:rPr>
  </w:style>
  <w:style w:type="paragraph" w:styleId="a4">
    <w:name w:val="List Paragraph"/>
    <w:basedOn w:val="a"/>
    <w:uiPriority w:val="1"/>
    <w:qFormat/>
    <w:rsid w:val="00165325"/>
  </w:style>
  <w:style w:type="paragraph" w:customStyle="1" w:styleId="TableParagraph">
    <w:name w:val="Table Paragraph"/>
    <w:basedOn w:val="a"/>
    <w:uiPriority w:val="1"/>
    <w:qFormat/>
    <w:rsid w:val="00165325"/>
    <w:pPr>
      <w:ind w:left="167"/>
    </w:pPr>
  </w:style>
  <w:style w:type="paragraph" w:styleId="a5">
    <w:name w:val="header"/>
    <w:basedOn w:val="a"/>
    <w:link w:val="a6"/>
    <w:uiPriority w:val="99"/>
    <w:semiHidden/>
    <w:unhideWhenUsed/>
    <w:rsid w:val="00DB34DD"/>
    <w:pPr>
      <w:tabs>
        <w:tab w:val="center" w:pos="4677"/>
        <w:tab w:val="right" w:pos="9355"/>
      </w:tabs>
    </w:pPr>
  </w:style>
  <w:style w:type="character" w:customStyle="1" w:styleId="a6">
    <w:name w:val="Верхний колонтитул Знак"/>
    <w:basedOn w:val="a0"/>
    <w:link w:val="a5"/>
    <w:uiPriority w:val="99"/>
    <w:semiHidden/>
    <w:rsid w:val="00DB34DD"/>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DB34DD"/>
    <w:pPr>
      <w:tabs>
        <w:tab w:val="center" w:pos="4677"/>
        <w:tab w:val="right" w:pos="9355"/>
      </w:tabs>
    </w:pPr>
  </w:style>
  <w:style w:type="character" w:customStyle="1" w:styleId="a8">
    <w:name w:val="Нижний колонтитул Знак"/>
    <w:basedOn w:val="a0"/>
    <w:link w:val="a7"/>
    <w:uiPriority w:val="99"/>
    <w:semiHidden/>
    <w:rsid w:val="00DB34DD"/>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10</cp:revision>
  <dcterms:created xsi:type="dcterms:W3CDTF">2019-12-28T09:39:00Z</dcterms:created>
  <dcterms:modified xsi:type="dcterms:W3CDTF">2020-01-20T13:13:00Z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2016</vt:lpwstr>
  </property>
  <property fmtid="{D5CDD505-2E9C-101B-9397-08002B2CF9AE}" pid="4" name="LastSaved">
    <vt:filetime>2019-12-28T00:00:00Z</vt:filetime>
  </property>
</Properties>
</file>